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77BEA"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A0E2587" wp14:editId="5BC25481">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1B497ECD" w14:textId="77777777" w:rsidR="005F2FD6" w:rsidRPr="00C12B1E" w:rsidRDefault="00685904" w:rsidP="005F2FD6">
      <w:pPr>
        <w:pStyle w:val="Title"/>
        <w:rPr>
          <w:b/>
          <w:sz w:val="36"/>
          <w:szCs w:val="36"/>
        </w:rPr>
      </w:pPr>
      <w:r>
        <w:rPr>
          <w:b/>
          <w:sz w:val="36"/>
          <w:szCs w:val="36"/>
          <w:u w:val="single"/>
        </w:rPr>
        <w:t>FOREIGN LANGUAGE</w:t>
      </w:r>
      <w:r w:rsidR="007E49E5" w:rsidRPr="00C12B1E">
        <w:rPr>
          <w:b/>
          <w:sz w:val="36"/>
          <w:szCs w:val="36"/>
        </w:rPr>
        <w:t xml:space="preserve"> Education</w:t>
      </w:r>
    </w:p>
    <w:p w14:paraId="6D923A30" w14:textId="77777777" w:rsidR="00F7711F" w:rsidRDefault="00F7711F" w:rsidP="00C12B1E">
      <w:pPr>
        <w:pStyle w:val="Title"/>
        <w:jc w:val="left"/>
        <w:rPr>
          <w:rFonts w:ascii="Times New Roman" w:eastAsiaTheme="minorHAnsi" w:hAnsi="Times New Roman"/>
          <w:caps w:val="0"/>
          <w:color w:val="auto"/>
          <w:kern w:val="0"/>
          <w:sz w:val="24"/>
          <w:szCs w:val="24"/>
        </w:rPr>
      </w:pPr>
    </w:p>
    <w:p w14:paraId="1DCF3ABA"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27F0A619" w14:textId="77777777" w:rsidTr="00F7711F">
        <w:tc>
          <w:tcPr>
            <w:tcW w:w="9350" w:type="dxa"/>
            <w:shd w:val="clear" w:color="auto" w:fill="DEEAF6" w:themeFill="accent1" w:themeFillTint="33"/>
          </w:tcPr>
          <w:p w14:paraId="320CABA4" w14:textId="77777777" w:rsidR="0039143C" w:rsidRDefault="0039143C" w:rsidP="00F7711F">
            <w:pPr>
              <w:jc w:val="center"/>
              <w:rPr>
                <w:rFonts w:ascii="Georgia" w:hAnsi="Georgia" w:cs="Times New Roman"/>
                <w:b/>
                <w:sz w:val="28"/>
                <w:szCs w:val="28"/>
              </w:rPr>
            </w:pPr>
          </w:p>
          <w:p w14:paraId="2B2183A7"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3FC465AD"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6C7D66AD"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1D8E9F8"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199490F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7389D3E1"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0992468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4BA7FF75"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07000C9D"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5620D65C" w14:textId="77777777" w:rsidR="004824C2" w:rsidRDefault="004824C2" w:rsidP="00C12B1E">
      <w:pPr>
        <w:pStyle w:val="NoSpacing"/>
        <w:rPr>
          <w:rFonts w:ascii="Times New Roman" w:hAnsi="Times New Roman" w:cs="Times New Roman"/>
          <w:b/>
          <w:sz w:val="24"/>
          <w:szCs w:val="24"/>
        </w:rPr>
      </w:pPr>
    </w:p>
    <w:p w14:paraId="44CC79FD"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7370AE55"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44DCE166" w14:textId="77777777" w:rsidR="00C12B1E" w:rsidRPr="00166588" w:rsidRDefault="00C12B1E" w:rsidP="00C12B1E">
      <w:pPr>
        <w:pStyle w:val="NoSpacing"/>
        <w:rPr>
          <w:rFonts w:ascii="Georgia" w:hAnsi="Georgia" w:cs="Times New Roman"/>
        </w:rPr>
      </w:pPr>
    </w:p>
    <w:p w14:paraId="68BFDCE5"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238A2B0A"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06A1DD0D" w14:textId="77777777" w:rsidR="00166588" w:rsidRPr="00166588" w:rsidRDefault="00166588" w:rsidP="00166588">
      <w:pPr>
        <w:pStyle w:val="NoSpacing"/>
        <w:ind w:left="720"/>
        <w:rPr>
          <w:rFonts w:ascii="Georgia" w:hAnsi="Georgia" w:cs="Times New Roman"/>
        </w:rPr>
      </w:pPr>
    </w:p>
    <w:p w14:paraId="0AA9FAF7"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360D94E5"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76B8E387" w14:textId="77777777" w:rsidTr="00EC2200">
        <w:trPr>
          <w:trHeight w:val="720"/>
        </w:trPr>
        <w:tc>
          <w:tcPr>
            <w:tcW w:w="432" w:type="dxa"/>
            <w:tcBorders>
              <w:top w:val="nil"/>
              <w:bottom w:val="nil"/>
            </w:tcBorders>
            <w:vAlign w:val="bottom"/>
          </w:tcPr>
          <w:p w14:paraId="4215F3C0"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5F34EF6E"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0CD23145" w14:textId="77777777" w:rsidR="00D30ADE" w:rsidRPr="00166588" w:rsidRDefault="00D30ADE" w:rsidP="00DA0BD4">
            <w:pPr>
              <w:rPr>
                <w:rFonts w:ascii="Georgia" w:hAnsi="Georgia"/>
                <w:b/>
              </w:rPr>
            </w:pPr>
          </w:p>
        </w:tc>
      </w:tr>
      <w:tr w:rsidR="00D30ADE" w:rsidRPr="00166588" w14:paraId="2BE8A326" w14:textId="77777777" w:rsidTr="008E30E0">
        <w:trPr>
          <w:trHeight w:val="720"/>
        </w:trPr>
        <w:tc>
          <w:tcPr>
            <w:tcW w:w="432" w:type="dxa"/>
            <w:tcBorders>
              <w:top w:val="nil"/>
              <w:bottom w:val="nil"/>
            </w:tcBorders>
            <w:vAlign w:val="bottom"/>
          </w:tcPr>
          <w:p w14:paraId="2DFDAC7A"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77CE96AA"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4B76E980" w14:textId="77777777" w:rsidR="00166588" w:rsidRPr="00166588" w:rsidRDefault="00166588" w:rsidP="00EC2200">
            <w:pPr>
              <w:rPr>
                <w:rFonts w:ascii="Georgia" w:hAnsi="Georgia"/>
                <w:b/>
              </w:rPr>
            </w:pPr>
          </w:p>
        </w:tc>
      </w:tr>
      <w:tr w:rsidR="00D30ADE" w:rsidRPr="00166588" w14:paraId="0FF5698C" w14:textId="77777777" w:rsidTr="008E30E0">
        <w:trPr>
          <w:trHeight w:val="720"/>
        </w:trPr>
        <w:tc>
          <w:tcPr>
            <w:tcW w:w="432" w:type="dxa"/>
            <w:tcBorders>
              <w:top w:val="nil"/>
              <w:bottom w:val="nil"/>
            </w:tcBorders>
            <w:vAlign w:val="bottom"/>
          </w:tcPr>
          <w:p w14:paraId="16C7C5DE"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08FEA00E"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2B4EFABA" w14:textId="77777777" w:rsidR="00D30ADE" w:rsidRPr="00166588" w:rsidRDefault="00D30ADE" w:rsidP="00DA0BD4">
            <w:pPr>
              <w:rPr>
                <w:rFonts w:ascii="Georgia" w:hAnsi="Georgia"/>
                <w:b/>
              </w:rPr>
            </w:pPr>
          </w:p>
        </w:tc>
      </w:tr>
      <w:tr w:rsidR="00D30ADE" w:rsidRPr="00166588" w14:paraId="0BDF0B1E" w14:textId="77777777" w:rsidTr="008E30E0">
        <w:trPr>
          <w:trHeight w:val="720"/>
        </w:trPr>
        <w:tc>
          <w:tcPr>
            <w:tcW w:w="432" w:type="dxa"/>
            <w:tcBorders>
              <w:top w:val="nil"/>
              <w:bottom w:val="nil"/>
            </w:tcBorders>
            <w:vAlign w:val="bottom"/>
          </w:tcPr>
          <w:p w14:paraId="54DEC745"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018F90BD"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7BB060FF" w14:textId="77777777" w:rsidR="00166588" w:rsidRDefault="00166588" w:rsidP="00DA0BD4">
            <w:pPr>
              <w:rPr>
                <w:rFonts w:ascii="Georgia" w:hAnsi="Georgia"/>
                <w:b/>
              </w:rPr>
            </w:pPr>
          </w:p>
          <w:p w14:paraId="38861BA3" w14:textId="77777777" w:rsidR="00D30ADE" w:rsidRPr="00166588" w:rsidRDefault="00D30ADE" w:rsidP="00DA0BD4">
            <w:pPr>
              <w:rPr>
                <w:rFonts w:ascii="Georgia" w:hAnsi="Georgia"/>
                <w:b/>
              </w:rPr>
            </w:pPr>
          </w:p>
        </w:tc>
      </w:tr>
    </w:tbl>
    <w:p w14:paraId="06BA3BA5"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318ECFD5" w14:textId="77777777" w:rsidR="00527621" w:rsidRPr="00166588" w:rsidRDefault="001E177B"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4EC7DC45" w14:textId="77777777" w:rsidR="000441EE" w:rsidRPr="00166588" w:rsidRDefault="001E177B"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645A1E41"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70477F9F" w14:textId="77777777" w:rsidR="000441EE" w:rsidRPr="00166588" w:rsidRDefault="000441EE" w:rsidP="000A41DB">
      <w:pPr>
        <w:pStyle w:val="Checkbox"/>
        <w:tabs>
          <w:tab w:val="left" w:pos="3555"/>
        </w:tabs>
        <w:rPr>
          <w:rFonts w:ascii="Georgia" w:hAnsi="Georgia"/>
        </w:rPr>
      </w:pPr>
    </w:p>
    <w:p w14:paraId="01F7F911" w14:textId="77777777" w:rsidR="007E49E5" w:rsidRPr="00166588" w:rsidRDefault="007E49E5" w:rsidP="000441EE">
      <w:pPr>
        <w:pStyle w:val="Title"/>
        <w:jc w:val="left"/>
        <w:rPr>
          <w:b/>
          <w:color w:val="auto"/>
          <w:sz w:val="24"/>
          <w:szCs w:val="24"/>
        </w:rPr>
      </w:pPr>
    </w:p>
    <w:p w14:paraId="211AAFDC"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17D9449F" w14:textId="77777777" w:rsidR="000441EE" w:rsidRPr="00166588" w:rsidRDefault="000441EE" w:rsidP="000441EE">
      <w:pPr>
        <w:pStyle w:val="Title"/>
        <w:jc w:val="left"/>
        <w:rPr>
          <w:b/>
          <w:color w:val="auto"/>
          <w:sz w:val="24"/>
          <w:szCs w:val="24"/>
        </w:rPr>
      </w:pPr>
    </w:p>
    <w:p w14:paraId="052A4D00" w14:textId="77777777" w:rsidR="00D274BE" w:rsidRPr="00166588" w:rsidRDefault="001E177B"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42D8A62F"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0C6C20DC"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7017894D" w14:textId="2931F2CA" w:rsidR="00520D4F" w:rsidRDefault="0049459E" w:rsidP="001E177B">
      <w:pPr>
        <w:pStyle w:val="Checkbox"/>
        <w:numPr>
          <w:ilvl w:val="0"/>
          <w:numId w:val="9"/>
        </w:numPr>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w:t>
      </w:r>
    </w:p>
    <w:p w14:paraId="51FB45CF" w14:textId="77777777" w:rsidR="00114DBD" w:rsidRDefault="00114DBD" w:rsidP="00AF705D">
      <w:pPr>
        <w:pStyle w:val="Heading1"/>
        <w:numPr>
          <w:ilvl w:val="0"/>
          <w:numId w:val="0"/>
        </w:numPr>
        <w:ind w:left="90"/>
        <w:rPr>
          <w:color w:val="000000" w:themeColor="text1"/>
          <w:sz w:val="24"/>
          <w:szCs w:val="24"/>
        </w:rPr>
      </w:pPr>
    </w:p>
    <w:p w14:paraId="2FB1F356"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58D0FB9D" w14:textId="77777777" w:rsidR="00F7711F" w:rsidRDefault="00F7711F" w:rsidP="00F7711F">
      <w:pPr>
        <w:pStyle w:val="Heading1"/>
        <w:numPr>
          <w:ilvl w:val="0"/>
          <w:numId w:val="0"/>
        </w:numPr>
        <w:ind w:left="1170"/>
        <w:rPr>
          <w:sz w:val="24"/>
          <w:szCs w:val="24"/>
        </w:rPr>
      </w:pPr>
    </w:p>
    <w:p w14:paraId="645199EA"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3BFEA005" w14:textId="77777777" w:rsidTr="00685904">
        <w:trPr>
          <w:trHeight w:val="134"/>
          <w:tblHeader/>
        </w:trPr>
        <w:tc>
          <w:tcPr>
            <w:tcW w:w="1765" w:type="pct"/>
            <w:shd w:val="clear" w:color="auto" w:fill="DEEAF6" w:themeFill="accent1" w:themeFillTint="33"/>
          </w:tcPr>
          <w:p w14:paraId="298A84B8"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42125119"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53BE0625"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68ECA9D1" w14:textId="77777777" w:rsidTr="00685904">
        <w:trPr>
          <w:trHeight w:val="134"/>
        </w:trPr>
        <w:tc>
          <w:tcPr>
            <w:tcW w:w="5000" w:type="pct"/>
            <w:gridSpan w:val="3"/>
            <w:shd w:val="clear" w:color="auto" w:fill="BDD6EE" w:themeFill="accent1" w:themeFillTint="66"/>
          </w:tcPr>
          <w:p w14:paraId="324DACD8" w14:textId="77777777" w:rsidR="00114DBD" w:rsidRPr="00B33215" w:rsidRDefault="00685904" w:rsidP="00770E77">
            <w:pPr>
              <w:spacing w:after="20"/>
              <w:rPr>
                <w:rFonts w:ascii="Georgia" w:hAnsi="Georgia" w:cs="Tahoma"/>
                <w:b/>
                <w:i/>
              </w:rPr>
            </w:pPr>
            <w:r w:rsidRPr="00B33215">
              <w:rPr>
                <w:rFonts w:ascii="Georgia" w:hAnsi="Georgia"/>
                <w:b/>
                <w:i/>
              </w:rPr>
              <w:t>Standard 1: Language Proficiency</w:t>
            </w:r>
          </w:p>
        </w:tc>
      </w:tr>
      <w:tr w:rsidR="00114DBD" w:rsidRPr="001B5771" w14:paraId="7F898488" w14:textId="77777777" w:rsidTr="00685904">
        <w:trPr>
          <w:trHeight w:val="800"/>
        </w:trPr>
        <w:tc>
          <w:tcPr>
            <w:tcW w:w="1765" w:type="pct"/>
            <w:tcBorders>
              <w:bottom w:val="single" w:sz="4" w:space="0" w:color="auto"/>
            </w:tcBorders>
          </w:tcPr>
          <w:p w14:paraId="5A3B9E7A" w14:textId="77777777" w:rsidR="00114DBD" w:rsidRPr="001B5771" w:rsidRDefault="00685904" w:rsidP="00770E77">
            <w:pPr>
              <w:jc w:val="both"/>
              <w:rPr>
                <w:rFonts w:ascii="Georgia" w:hAnsi="Georgia"/>
              </w:rPr>
            </w:pPr>
            <w:r w:rsidRPr="0037708A">
              <w:rPr>
                <w:rFonts w:ascii="Georgia" w:hAnsi="Georgia"/>
              </w:rPr>
              <w:t>Candidates in foreign language teacher preparation programs possess a high level of proficiency in the target languages they will teach. They are able to communicate effectively in interpersonal, interpretive, and presentational contexts. Candidates speak in the interpersonal mode at a minimum level of "Advanced Low" (French, German, Hebrew, Italian, Portuguese, Russian, and Spanish) or "Intermediate</w:t>
            </w:r>
            <w:r>
              <w:rPr>
                <w:rFonts w:ascii="Georgia" w:hAnsi="Georgia"/>
              </w:rPr>
              <w:t xml:space="preserve"> </w:t>
            </w:r>
            <w:r w:rsidRPr="0037708A">
              <w:rPr>
                <w:rFonts w:ascii="Georgia" w:hAnsi="Georgia"/>
              </w:rPr>
              <w:t>High" (Arabic, Chinese, Japanese, and Korean) on the ACTFL Oral Proficiency Interview (OPI</w:t>
            </w:r>
            <w:r>
              <w:rPr>
                <w:rFonts w:ascii="Georgia" w:hAnsi="Georgia"/>
              </w:rPr>
              <w:t xml:space="preserve">). They comprehend </w:t>
            </w:r>
            <w:r w:rsidRPr="0037708A">
              <w:rPr>
                <w:rFonts w:ascii="Georgia" w:hAnsi="Georgia"/>
              </w:rPr>
              <w:t>and interpret oral, printed, and video texts by identifying the main idea(s) and supporting details, inferring and interpreting the author's intent and cultural perspectives, and offering a perso</w:t>
            </w:r>
            <w:r>
              <w:rPr>
                <w:rFonts w:ascii="Georgia" w:hAnsi="Georgia"/>
              </w:rPr>
              <w:t xml:space="preserve">nal interpretation of the text. </w:t>
            </w:r>
            <w:r w:rsidRPr="0037708A">
              <w:rPr>
                <w:rFonts w:ascii="Georgia" w:hAnsi="Georgia"/>
              </w:rPr>
              <w:t>Candidates present information, concepts, and ideas to an audience of listeners or re</w:t>
            </w:r>
            <w:r>
              <w:rPr>
                <w:rFonts w:ascii="Georgia" w:hAnsi="Georgia"/>
              </w:rPr>
              <w:t xml:space="preserve">aders with language proficiency </w:t>
            </w:r>
            <w:r w:rsidRPr="0037708A">
              <w:rPr>
                <w:rFonts w:ascii="Georgia" w:hAnsi="Georgia"/>
              </w:rPr>
              <w:t xml:space="preserve">characteristic of a minimum level of "Advanced Low" or "Intermediate High" </w:t>
            </w:r>
            <w:r w:rsidRPr="0037708A">
              <w:rPr>
                <w:rFonts w:ascii="Georgia" w:hAnsi="Georgia"/>
              </w:rPr>
              <w:lastRenderedPageBreak/>
              <w:t>accor</w:t>
            </w:r>
            <w:r>
              <w:rPr>
                <w:rFonts w:ascii="Georgia" w:hAnsi="Georgia"/>
              </w:rPr>
              <w:t xml:space="preserve">ding to the target language, as </w:t>
            </w:r>
            <w:r w:rsidRPr="0037708A">
              <w:rPr>
                <w:rFonts w:ascii="Georgia" w:hAnsi="Georgia"/>
              </w:rPr>
              <w:t>described above.</w:t>
            </w:r>
          </w:p>
        </w:tc>
        <w:tc>
          <w:tcPr>
            <w:tcW w:w="882" w:type="pct"/>
            <w:tcBorders>
              <w:bottom w:val="single" w:sz="4" w:space="0" w:color="auto"/>
            </w:tcBorders>
          </w:tcPr>
          <w:p w14:paraId="3C3B8935" w14:textId="77777777" w:rsidR="00114DBD" w:rsidRDefault="00114DBD" w:rsidP="00770E77">
            <w:pPr>
              <w:jc w:val="both"/>
              <w:rPr>
                <w:rFonts w:ascii="Georgia" w:hAnsi="Georgia"/>
              </w:rPr>
            </w:pPr>
          </w:p>
        </w:tc>
        <w:tc>
          <w:tcPr>
            <w:tcW w:w="2353" w:type="pct"/>
            <w:tcBorders>
              <w:bottom w:val="single" w:sz="4" w:space="0" w:color="auto"/>
            </w:tcBorders>
          </w:tcPr>
          <w:p w14:paraId="530B9CC1" w14:textId="77777777" w:rsidR="00114DBD" w:rsidRDefault="00114DBD" w:rsidP="00770E77">
            <w:pPr>
              <w:jc w:val="both"/>
              <w:rPr>
                <w:rFonts w:ascii="Georgia" w:hAnsi="Georgia"/>
              </w:rPr>
            </w:pPr>
          </w:p>
        </w:tc>
      </w:tr>
      <w:tr w:rsidR="00114DBD" w:rsidRPr="001B5771" w14:paraId="0F22BE7D" w14:textId="77777777" w:rsidTr="00685904">
        <w:trPr>
          <w:trHeight w:val="302"/>
        </w:trPr>
        <w:tc>
          <w:tcPr>
            <w:tcW w:w="5000" w:type="pct"/>
            <w:gridSpan w:val="3"/>
            <w:shd w:val="clear" w:color="auto" w:fill="BDD6EE" w:themeFill="accent1" w:themeFillTint="66"/>
          </w:tcPr>
          <w:p w14:paraId="59AE4F3D" w14:textId="77777777" w:rsidR="00114DBD" w:rsidRPr="00B33215" w:rsidRDefault="00685904" w:rsidP="00770E77">
            <w:pPr>
              <w:spacing w:after="20"/>
              <w:rPr>
                <w:rFonts w:ascii="Georgia" w:hAnsi="Georgia" w:cs="Tahoma"/>
                <w:b/>
                <w:i/>
              </w:rPr>
            </w:pPr>
            <w:r w:rsidRPr="00B33215">
              <w:rPr>
                <w:rFonts w:ascii="Georgia" w:hAnsi="Georgia"/>
                <w:b/>
                <w:i/>
              </w:rPr>
              <w:t>Standard 2: Cultures, Linguistics, Literatures, and Concepts from Other Disciplines</w:t>
            </w:r>
          </w:p>
        </w:tc>
      </w:tr>
      <w:tr w:rsidR="00114DBD" w:rsidRPr="001B5771" w14:paraId="39F53E1E" w14:textId="77777777" w:rsidTr="00685904">
        <w:trPr>
          <w:trHeight w:val="845"/>
        </w:trPr>
        <w:tc>
          <w:tcPr>
            <w:tcW w:w="1765" w:type="pct"/>
          </w:tcPr>
          <w:p w14:paraId="42F28765" w14:textId="77777777" w:rsidR="00114DBD" w:rsidRPr="00685904" w:rsidRDefault="00685904" w:rsidP="00770E77">
            <w:pPr>
              <w:jc w:val="both"/>
              <w:rPr>
                <w:rFonts w:ascii="Georgia" w:hAnsi="Georgia"/>
              </w:rPr>
            </w:pPr>
            <w:r w:rsidRPr="00685904">
              <w:rPr>
                <w:rFonts w:ascii="Georgia" w:hAnsi="Georgia"/>
              </w:rPr>
              <w:t>Candidates demonstrate understanding of the multiple content areas that comprise the field of foreign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c>
        <w:tc>
          <w:tcPr>
            <w:tcW w:w="882" w:type="pct"/>
          </w:tcPr>
          <w:p w14:paraId="6D40FA31" w14:textId="77777777" w:rsidR="00114DBD" w:rsidRPr="00CB587C" w:rsidRDefault="00114DBD" w:rsidP="00770E77">
            <w:pPr>
              <w:jc w:val="both"/>
              <w:rPr>
                <w:rFonts w:ascii="Georgia" w:hAnsi="Georgia"/>
              </w:rPr>
            </w:pPr>
          </w:p>
        </w:tc>
        <w:tc>
          <w:tcPr>
            <w:tcW w:w="2353" w:type="pct"/>
          </w:tcPr>
          <w:p w14:paraId="70CB1518" w14:textId="77777777" w:rsidR="00114DBD" w:rsidRPr="00CB587C" w:rsidRDefault="00114DBD" w:rsidP="00770E77">
            <w:pPr>
              <w:jc w:val="both"/>
              <w:rPr>
                <w:rFonts w:ascii="Georgia" w:hAnsi="Georgia"/>
              </w:rPr>
            </w:pPr>
          </w:p>
        </w:tc>
      </w:tr>
      <w:tr w:rsidR="00114DBD" w:rsidRPr="00A85C9E" w14:paraId="55A04CEB" w14:textId="77777777" w:rsidTr="00685904">
        <w:trPr>
          <w:trHeight w:val="302"/>
        </w:trPr>
        <w:tc>
          <w:tcPr>
            <w:tcW w:w="5000" w:type="pct"/>
            <w:gridSpan w:val="3"/>
            <w:shd w:val="clear" w:color="auto" w:fill="BDD6EE" w:themeFill="accent1" w:themeFillTint="66"/>
          </w:tcPr>
          <w:p w14:paraId="105CDD3E" w14:textId="77777777" w:rsidR="00114DBD" w:rsidRPr="00B33215" w:rsidRDefault="00685904" w:rsidP="00770E77">
            <w:pPr>
              <w:spacing w:after="20"/>
              <w:rPr>
                <w:rFonts w:ascii="Georgia" w:hAnsi="Georgia" w:cs="Tahoma"/>
                <w:b/>
                <w:i/>
              </w:rPr>
            </w:pPr>
            <w:r w:rsidRPr="00B33215">
              <w:rPr>
                <w:rFonts w:ascii="Georgia" w:hAnsi="Georgia"/>
                <w:b/>
                <w:i/>
              </w:rPr>
              <w:t>Standard 3: Language Acquisition Theories and Knowledge of Students and Their Needs</w:t>
            </w:r>
          </w:p>
        </w:tc>
      </w:tr>
      <w:tr w:rsidR="00114DBD" w:rsidRPr="001B5771" w14:paraId="7061D2D9" w14:textId="77777777" w:rsidTr="00685904">
        <w:trPr>
          <w:trHeight w:val="890"/>
        </w:trPr>
        <w:tc>
          <w:tcPr>
            <w:tcW w:w="1765" w:type="pct"/>
          </w:tcPr>
          <w:p w14:paraId="01B3B276" w14:textId="77777777" w:rsidR="00114DBD" w:rsidRPr="00685904" w:rsidRDefault="00685904" w:rsidP="00770E77">
            <w:pPr>
              <w:jc w:val="both"/>
              <w:rPr>
                <w:rFonts w:ascii="Georgia" w:hAnsi="Georgia"/>
                <w:bCs/>
              </w:rPr>
            </w:pPr>
            <w:r w:rsidRPr="00685904">
              <w:rPr>
                <w:rFonts w:ascii="Georgia" w:hAnsi="Georgia"/>
              </w:rPr>
              <w:t>Candidates demonstrate an understanding of the principles of language acquisition and use this knowledge to create linguistically and culturally rich learning environments. Candidates demonstrate an understanding of child and adolescent development, the context of instruction, and their students’ backgrounds, skills, and learning profiles in order to create a supportive learning environment that meets individual students’ needs.</w:t>
            </w:r>
          </w:p>
        </w:tc>
        <w:tc>
          <w:tcPr>
            <w:tcW w:w="882" w:type="pct"/>
          </w:tcPr>
          <w:p w14:paraId="65D1F93C" w14:textId="77777777" w:rsidR="00114DBD" w:rsidRDefault="00114DBD" w:rsidP="00770E77">
            <w:pPr>
              <w:jc w:val="both"/>
              <w:rPr>
                <w:rFonts w:ascii="Georgia" w:hAnsi="Georgia"/>
              </w:rPr>
            </w:pPr>
          </w:p>
        </w:tc>
        <w:tc>
          <w:tcPr>
            <w:tcW w:w="2353" w:type="pct"/>
          </w:tcPr>
          <w:p w14:paraId="43535E9F" w14:textId="77777777" w:rsidR="00114DBD" w:rsidRDefault="00114DBD" w:rsidP="00770E77">
            <w:pPr>
              <w:jc w:val="both"/>
              <w:rPr>
                <w:rFonts w:ascii="Georgia" w:hAnsi="Georgia"/>
              </w:rPr>
            </w:pPr>
          </w:p>
        </w:tc>
      </w:tr>
      <w:tr w:rsidR="00114DBD" w:rsidRPr="001B5771" w14:paraId="5F023FE1" w14:textId="77777777" w:rsidTr="00685904">
        <w:trPr>
          <w:trHeight w:val="305"/>
        </w:trPr>
        <w:tc>
          <w:tcPr>
            <w:tcW w:w="5000" w:type="pct"/>
            <w:gridSpan w:val="3"/>
            <w:tcBorders>
              <w:bottom w:val="single" w:sz="4" w:space="0" w:color="auto"/>
            </w:tcBorders>
            <w:shd w:val="clear" w:color="auto" w:fill="BDD6EE" w:themeFill="accent1" w:themeFillTint="66"/>
          </w:tcPr>
          <w:p w14:paraId="73E2CDE8" w14:textId="77777777" w:rsidR="00114DBD" w:rsidRPr="00685904" w:rsidRDefault="00685904" w:rsidP="00770E77">
            <w:pPr>
              <w:spacing w:after="20"/>
              <w:rPr>
                <w:rFonts w:ascii="Georgia" w:hAnsi="Georgia" w:cs="Tahoma"/>
                <w:b/>
                <w:i/>
              </w:rPr>
            </w:pPr>
            <w:r w:rsidRPr="00685904">
              <w:rPr>
                <w:rFonts w:ascii="Georgia" w:hAnsi="Georgia"/>
                <w:b/>
                <w:i/>
              </w:rPr>
              <w:t>Standard 4: Integration of Standards in Planning and Instruction</w:t>
            </w:r>
          </w:p>
        </w:tc>
      </w:tr>
      <w:tr w:rsidR="00114DBD" w:rsidRPr="001B5771" w14:paraId="7CD260AE" w14:textId="77777777" w:rsidTr="00685904">
        <w:trPr>
          <w:trHeight w:val="593"/>
        </w:trPr>
        <w:tc>
          <w:tcPr>
            <w:tcW w:w="1765" w:type="pct"/>
            <w:tcBorders>
              <w:bottom w:val="single" w:sz="4" w:space="0" w:color="auto"/>
            </w:tcBorders>
          </w:tcPr>
          <w:p w14:paraId="74598BA7" w14:textId="77777777" w:rsidR="00114DBD" w:rsidRPr="001B5771" w:rsidRDefault="00685904" w:rsidP="00770E77">
            <w:pPr>
              <w:rPr>
                <w:rFonts w:ascii="Georgia" w:hAnsi="Georgia"/>
              </w:rPr>
            </w:pPr>
            <w:r w:rsidRPr="00B33215">
              <w:rPr>
                <w:rFonts w:ascii="Georgia" w:hAnsi="Georgia"/>
              </w:rPr>
              <w:lastRenderedPageBreak/>
              <w:t xml:space="preserve">Candidates in foreign language teacher preparation programs understand and use the national </w:t>
            </w:r>
            <w:r w:rsidRPr="00B33215">
              <w:rPr>
                <w:rFonts w:ascii="Georgia" w:hAnsi="Georgia"/>
                <w:i/>
                <w:iCs/>
              </w:rPr>
              <w:t xml:space="preserve">Standards for Foreign Language </w:t>
            </w:r>
            <w:r w:rsidRPr="00685904">
              <w:rPr>
                <w:rFonts w:ascii="Georgia" w:hAnsi="Georgia"/>
                <w:i/>
                <w:iCs/>
              </w:rPr>
              <w:t>Learning in the 21st Century</w:t>
            </w:r>
            <w:r w:rsidRPr="00685904">
              <w:rPr>
                <w:rFonts w:ascii="Georgia" w:hAnsi="Georgia"/>
              </w:rPr>
              <w:t xml:space="preserve"> (2006) and their state standards to make instructional decisions. Candidates demonstrate an understanding of the standards and integrate them into their curricular planning. They design instructional practices and classroom experiences that address these standards. Candidates use the principles embedded in the standards to select and integrate authentic materials and technology, as well as to adapt and create materials, to support communication in their classrooms.</w:t>
            </w:r>
          </w:p>
        </w:tc>
        <w:tc>
          <w:tcPr>
            <w:tcW w:w="882" w:type="pct"/>
            <w:tcBorders>
              <w:bottom w:val="single" w:sz="4" w:space="0" w:color="auto"/>
            </w:tcBorders>
          </w:tcPr>
          <w:p w14:paraId="2A4F7B9B" w14:textId="77777777" w:rsidR="00114DBD" w:rsidRDefault="00114DBD" w:rsidP="00770E77">
            <w:pPr>
              <w:rPr>
                <w:rFonts w:ascii="Georgia" w:hAnsi="Georgia"/>
              </w:rPr>
            </w:pPr>
          </w:p>
        </w:tc>
        <w:tc>
          <w:tcPr>
            <w:tcW w:w="2353" w:type="pct"/>
            <w:tcBorders>
              <w:bottom w:val="single" w:sz="4" w:space="0" w:color="auto"/>
            </w:tcBorders>
          </w:tcPr>
          <w:p w14:paraId="4645BF8D" w14:textId="77777777" w:rsidR="00114DBD" w:rsidRDefault="00114DBD" w:rsidP="00770E77">
            <w:pPr>
              <w:rPr>
                <w:rFonts w:ascii="Georgia" w:hAnsi="Georgia"/>
              </w:rPr>
            </w:pPr>
          </w:p>
        </w:tc>
      </w:tr>
      <w:tr w:rsidR="00114DBD" w:rsidRPr="001B5771" w14:paraId="3802B1AF" w14:textId="77777777" w:rsidTr="00685904">
        <w:trPr>
          <w:trHeight w:val="302"/>
        </w:trPr>
        <w:tc>
          <w:tcPr>
            <w:tcW w:w="5000" w:type="pct"/>
            <w:gridSpan w:val="3"/>
            <w:shd w:val="clear" w:color="auto" w:fill="BDD6EE" w:themeFill="accent1" w:themeFillTint="66"/>
          </w:tcPr>
          <w:p w14:paraId="2DD3F8F6" w14:textId="77777777" w:rsidR="00114DBD" w:rsidRPr="00685904" w:rsidRDefault="00685904" w:rsidP="00BE70FB">
            <w:pPr>
              <w:pStyle w:val="NoSpacing"/>
              <w:rPr>
                <w:rFonts w:ascii="Georgia" w:hAnsi="Georgia"/>
                <w:b/>
                <w:i/>
              </w:rPr>
            </w:pPr>
            <w:r w:rsidRPr="00685904">
              <w:rPr>
                <w:rFonts w:ascii="Georgia" w:hAnsi="Georgia"/>
                <w:b/>
                <w:i/>
              </w:rPr>
              <w:t>Standard 5: Assessment of Languages and Cultures – Impact on Student Learning</w:t>
            </w:r>
          </w:p>
        </w:tc>
      </w:tr>
      <w:tr w:rsidR="00114DBD" w:rsidRPr="001B5771" w14:paraId="41925495" w14:textId="77777777" w:rsidTr="00685904">
        <w:trPr>
          <w:trHeight w:val="863"/>
        </w:trPr>
        <w:tc>
          <w:tcPr>
            <w:tcW w:w="1765" w:type="pct"/>
          </w:tcPr>
          <w:p w14:paraId="5A6768E1" w14:textId="77777777" w:rsidR="00114DBD" w:rsidRPr="001B5771" w:rsidRDefault="00685904" w:rsidP="00770E77">
            <w:pPr>
              <w:jc w:val="both"/>
              <w:rPr>
                <w:rFonts w:ascii="Georgia" w:hAnsi="Georgia"/>
              </w:rPr>
            </w:pPr>
            <w:r>
              <w:rPr>
                <w:rFonts w:ascii="Georgia" w:hAnsi="Georgia"/>
              </w:rPr>
              <w:t xml:space="preserve">Candidates in foreign </w:t>
            </w:r>
            <w:r w:rsidRPr="0037708A">
              <w:rPr>
                <w:rFonts w:ascii="Georgia" w:hAnsi="Georgia"/>
              </w:rPr>
              <w:t>language teacher preparation programs design ongoing assessments using a variety of assessment mod</w:t>
            </w:r>
            <w:r>
              <w:rPr>
                <w:rFonts w:ascii="Georgia" w:hAnsi="Georgia"/>
              </w:rPr>
              <w:t xml:space="preserve">els to show </w:t>
            </w:r>
            <w:r w:rsidRPr="0037708A">
              <w:rPr>
                <w:rFonts w:ascii="Georgia" w:hAnsi="Georgia"/>
              </w:rPr>
              <w:t>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c>
        <w:tc>
          <w:tcPr>
            <w:tcW w:w="882" w:type="pct"/>
          </w:tcPr>
          <w:p w14:paraId="4C2F6591" w14:textId="77777777" w:rsidR="00114DBD" w:rsidRDefault="00114DBD" w:rsidP="00770E77">
            <w:pPr>
              <w:jc w:val="both"/>
              <w:rPr>
                <w:rFonts w:ascii="Georgia" w:hAnsi="Georgia"/>
              </w:rPr>
            </w:pPr>
          </w:p>
        </w:tc>
        <w:tc>
          <w:tcPr>
            <w:tcW w:w="2353" w:type="pct"/>
          </w:tcPr>
          <w:p w14:paraId="51583FBF" w14:textId="77777777" w:rsidR="00114DBD" w:rsidRDefault="00114DBD" w:rsidP="00770E77">
            <w:pPr>
              <w:jc w:val="both"/>
              <w:rPr>
                <w:rFonts w:ascii="Georgia" w:hAnsi="Georgia"/>
              </w:rPr>
            </w:pPr>
          </w:p>
        </w:tc>
      </w:tr>
      <w:tr w:rsidR="00685904" w:rsidRPr="001B5771" w14:paraId="610D9790" w14:textId="77777777" w:rsidTr="00685904">
        <w:trPr>
          <w:trHeight w:val="302"/>
        </w:trPr>
        <w:tc>
          <w:tcPr>
            <w:tcW w:w="5000" w:type="pct"/>
            <w:gridSpan w:val="3"/>
            <w:shd w:val="clear" w:color="auto" w:fill="BDD6EE" w:themeFill="accent1" w:themeFillTint="66"/>
          </w:tcPr>
          <w:p w14:paraId="25C3BBEF" w14:textId="77777777" w:rsidR="00685904" w:rsidRPr="00685904" w:rsidRDefault="00685904" w:rsidP="00770E77">
            <w:pPr>
              <w:jc w:val="both"/>
              <w:rPr>
                <w:rFonts w:ascii="Georgia" w:hAnsi="Georgia"/>
              </w:rPr>
            </w:pPr>
            <w:r w:rsidRPr="00685904">
              <w:rPr>
                <w:rFonts w:ascii="Georgia" w:hAnsi="Georgia"/>
                <w:b/>
                <w:i/>
              </w:rPr>
              <w:t>Standard 6: Professional Development, Advocacy, and Ethics</w:t>
            </w:r>
          </w:p>
        </w:tc>
      </w:tr>
      <w:tr w:rsidR="00114DBD" w:rsidRPr="001B5771" w14:paraId="15EA9A28" w14:textId="77777777" w:rsidTr="00685904">
        <w:trPr>
          <w:trHeight w:val="863"/>
        </w:trPr>
        <w:tc>
          <w:tcPr>
            <w:tcW w:w="1765" w:type="pct"/>
          </w:tcPr>
          <w:p w14:paraId="617C640D" w14:textId="77777777" w:rsidR="00114DBD" w:rsidRPr="001B5771" w:rsidRDefault="00685904" w:rsidP="00770E77">
            <w:pPr>
              <w:jc w:val="both"/>
              <w:rPr>
                <w:rFonts w:ascii="Georgia" w:hAnsi="Georgia"/>
              </w:rPr>
            </w:pPr>
            <w:r w:rsidRPr="0037708A">
              <w:rPr>
                <w:rFonts w:ascii="Georgia" w:hAnsi="Georgia"/>
              </w:rPr>
              <w:lastRenderedPageBreak/>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w:t>
            </w:r>
            <w:r>
              <w:rPr>
                <w:rFonts w:ascii="Georgia" w:hAnsi="Georgia"/>
              </w:rPr>
              <w:t xml:space="preserve">d explain the opportunities and </w:t>
            </w:r>
            <w:r w:rsidRPr="0037708A">
              <w:rPr>
                <w:rFonts w:ascii="Georgia" w:hAnsi="Georgia"/>
              </w:rPr>
              <w:t>responsibilities inherent in being a professional language educator and are committed to equitable and ethical interactions with all stakeholders.</w:t>
            </w:r>
          </w:p>
        </w:tc>
        <w:tc>
          <w:tcPr>
            <w:tcW w:w="882" w:type="pct"/>
          </w:tcPr>
          <w:p w14:paraId="7C172069" w14:textId="77777777" w:rsidR="00114DBD" w:rsidRDefault="00114DBD" w:rsidP="00770E77">
            <w:pPr>
              <w:jc w:val="both"/>
              <w:rPr>
                <w:rFonts w:ascii="Georgia" w:hAnsi="Georgia"/>
              </w:rPr>
            </w:pPr>
          </w:p>
        </w:tc>
        <w:tc>
          <w:tcPr>
            <w:tcW w:w="2353" w:type="pct"/>
          </w:tcPr>
          <w:p w14:paraId="1E43463F" w14:textId="77777777" w:rsidR="00114DBD" w:rsidRDefault="00114DBD" w:rsidP="00770E77">
            <w:pPr>
              <w:jc w:val="both"/>
              <w:rPr>
                <w:rFonts w:ascii="Georgia" w:hAnsi="Georgia"/>
              </w:rPr>
            </w:pPr>
          </w:p>
        </w:tc>
      </w:tr>
    </w:tbl>
    <w:p w14:paraId="6428BE01"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483C2" w14:textId="77777777" w:rsidR="00AC063E" w:rsidRDefault="00AC063E" w:rsidP="00B75847">
      <w:pPr>
        <w:spacing w:after="0" w:line="240" w:lineRule="auto"/>
      </w:pPr>
      <w:r>
        <w:separator/>
      </w:r>
    </w:p>
  </w:endnote>
  <w:endnote w:type="continuationSeparator" w:id="0">
    <w:p w14:paraId="552812D2"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17080584" w14:textId="77777777" w:rsidR="00BF02F8" w:rsidRDefault="00BF02F8">
        <w:pPr>
          <w:pStyle w:val="Footer"/>
          <w:jc w:val="right"/>
        </w:pPr>
        <w:r>
          <w:fldChar w:fldCharType="begin"/>
        </w:r>
        <w:r>
          <w:instrText xml:space="preserve"> PAGE   \* MERGEFORMAT </w:instrText>
        </w:r>
        <w:r>
          <w:fldChar w:fldCharType="separate"/>
        </w:r>
        <w:r w:rsidR="00B33215">
          <w:rPr>
            <w:noProof/>
          </w:rPr>
          <w:t>1</w:t>
        </w:r>
        <w:r>
          <w:rPr>
            <w:noProof/>
          </w:rPr>
          <w:fldChar w:fldCharType="end"/>
        </w:r>
      </w:p>
    </w:sdtContent>
  </w:sdt>
  <w:p w14:paraId="29C8624F"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B600" w14:textId="77777777" w:rsidR="00AC063E" w:rsidRDefault="00AC063E" w:rsidP="00B75847">
      <w:pPr>
        <w:spacing w:after="0" w:line="240" w:lineRule="auto"/>
      </w:pPr>
      <w:r>
        <w:separator/>
      </w:r>
    </w:p>
  </w:footnote>
  <w:footnote w:type="continuationSeparator" w:id="0">
    <w:p w14:paraId="0D65F365"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8961" w14:textId="77777777" w:rsidR="0097555E" w:rsidRPr="0097555E" w:rsidRDefault="0097555E">
    <w:pPr>
      <w:pStyle w:val="Header"/>
      <w:jc w:val="center"/>
      <w:rPr>
        <w:sz w:val="40"/>
        <w:szCs w:val="40"/>
      </w:rPr>
    </w:pPr>
  </w:p>
  <w:p w14:paraId="1F252F93"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E177B"/>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85904"/>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3215"/>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9E3F"/>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2021-12-09T20:13:00Z</dcterms:modified>
</cp:coreProperties>
</file>